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eastAsiaTheme="minorEastAsia"/>
          <w:sz w:val="22"/>
          <w:szCs w:val="22"/>
          <w:lang w:eastAsia="zh-CN"/>
        </w:rPr>
      </w:pPr>
    </w:p>
    <w:p>
      <w:pPr>
        <w:jc w:val="both"/>
        <w:rPr>
          <w:rFonts w:hint="eastAsia" w:eastAsia="宋体"/>
          <w:sz w:val="22"/>
          <w:szCs w:val="22"/>
          <w:lang w:val="en-US" w:eastAsia="zh-CN"/>
        </w:rPr>
      </w:pPr>
      <w:r>
        <w:rPr>
          <w:rFonts w:hint="eastAsia" w:eastAsiaTheme="minorEastAsia"/>
          <w:sz w:val="22"/>
          <w:szCs w:val="22"/>
          <w:lang w:eastAsia="zh-CN"/>
        </w:rPr>
        <w:drawing>
          <wp:inline distT="0" distB="0" distL="114300" distR="114300">
            <wp:extent cx="5270500" cy="3764915"/>
            <wp:effectExtent l="0" t="0" r="0" b="6985"/>
            <wp:docPr id="7" name="图片 7" descr="Figure S1-KEGG enrichment bubble plot of DEmRNAs involved in fatty acid metabolism in four closed grou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igure S1-KEGG enrichment bubble plot of DEmRNAs involved in fatty acid metabolism in four closed groups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6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URWPalladioL-Roma" w:cs="Times New Roman"/>
          <w:b/>
          <w:bCs/>
          <w:color w:val="FF0000"/>
          <w:sz w:val="22"/>
          <w:szCs w:val="22"/>
          <w:highlight w:val="none"/>
          <w:lang w:val="en-US" w:eastAsia="zh-CN"/>
        </w:rPr>
        <w:t>Figure S1.</w:t>
      </w:r>
      <w:r>
        <w:rPr>
          <w:rFonts w:hint="eastAsia" w:ascii="Times New Roman" w:hAnsi="Times New Roman" w:eastAsia="URWPalladioL-Roma" w:cs="Times New Roman"/>
          <w:color w:val="FF0000"/>
          <w:sz w:val="22"/>
          <w:szCs w:val="22"/>
          <w:highlight w:val="none"/>
          <w:lang w:val="en-US" w:eastAsia="zh-CN"/>
        </w:rPr>
        <w:t xml:space="preserve"> </w:t>
      </w:r>
      <w:r>
        <w:rPr>
          <w:rFonts w:hint="eastAsia" w:ascii="Times New Roman" w:hAnsi="Times New Roman" w:eastAsia="URWPalladioL-Roma" w:cs="Times New Roman"/>
          <w:color w:val="FF0000"/>
          <w:sz w:val="22"/>
          <w:szCs w:val="22"/>
          <w:highlight w:val="none"/>
        </w:rPr>
        <w:t>KEGG enrichment bubble plot of DEmRNAs involved in fatty acid metabolism in four closed groups</w:t>
      </w:r>
      <w:r>
        <w:rPr>
          <w:rFonts w:hint="eastAsia" w:ascii="Times New Roman" w:hAnsi="Times New Roman" w:eastAsia="宋体" w:cs="Times New Roman"/>
          <w:color w:val="FF0000"/>
          <w:sz w:val="22"/>
          <w:szCs w:val="22"/>
          <w:highlight w:val="none"/>
          <w:lang w:val="en-US" w:eastAsia="zh-CN"/>
        </w:rPr>
        <w:t>.</w:t>
      </w:r>
      <w:bookmarkStart w:id="0" w:name="_GoBack"/>
      <w:bookmarkEnd w:id="0"/>
    </w:p>
    <w:p>
      <w:pPr>
        <w:jc w:val="both"/>
        <w:rPr>
          <w:rFonts w:hint="eastAsia" w:eastAsiaTheme="minorEastAsia"/>
          <w:sz w:val="22"/>
          <w:szCs w:val="22"/>
          <w:lang w:eastAsia="zh-CN"/>
        </w:rPr>
      </w:pPr>
      <w:r>
        <w:rPr>
          <w:rFonts w:hint="eastAsia" w:eastAsiaTheme="minorEastAsia"/>
          <w:sz w:val="22"/>
          <w:szCs w:val="22"/>
          <w:lang w:eastAsia="zh-CN"/>
        </w:rPr>
        <w:drawing>
          <wp:inline distT="0" distB="0" distL="114300" distR="114300">
            <wp:extent cx="5273675" cy="4821555"/>
            <wp:effectExtent l="0" t="0" r="9525" b="4445"/>
            <wp:docPr id="6" name="图片 6" descr="Figure 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igure S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82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  <w:r>
        <w:rPr>
          <w:rFonts w:hint="default" w:ascii="Times New Roman" w:hAnsi="Times New Roman" w:eastAsia="URWPalladioL-Roma" w:cs="Times New Roman"/>
          <w:b/>
          <w:bCs/>
          <w:color w:val="auto"/>
          <w:sz w:val="22"/>
          <w:szCs w:val="22"/>
          <w:highlight w:val="none"/>
        </w:rPr>
        <w:t xml:space="preserve">Figure </w:t>
      </w:r>
      <w:r>
        <w:rPr>
          <w:rFonts w:hint="default" w:ascii="Times New Roman" w:hAnsi="Times New Roman" w:eastAsia="URWPalladioL-Roma" w:cs="Times New Roman"/>
          <w:b/>
          <w:bCs/>
          <w:color w:val="FF0000"/>
          <w:sz w:val="22"/>
          <w:szCs w:val="22"/>
          <w:highlight w:val="none"/>
        </w:rPr>
        <w:t>S</w:t>
      </w:r>
      <w:r>
        <w:rPr>
          <w:rFonts w:hint="eastAsia" w:ascii="Times New Roman" w:hAnsi="Times New Roman" w:eastAsia="宋体" w:cs="Times New Roman"/>
          <w:b/>
          <w:bCs/>
          <w:color w:val="FF0000"/>
          <w:sz w:val="22"/>
          <w:szCs w:val="22"/>
          <w:highlight w:val="none"/>
          <w:lang w:val="en-US" w:eastAsia="zh-CN"/>
        </w:rPr>
        <w:t>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</w:rPr>
        <w:t>.</w:t>
      </w:r>
      <w:r>
        <w:rPr>
          <w:rFonts w:hint="default" w:ascii="Times New Roman" w:hAnsi="Times New Roman" w:eastAsia="URWPalladioL-Roma" w:cs="Times New Roman"/>
          <w:color w:val="auto"/>
          <w:sz w:val="22"/>
          <w:szCs w:val="22"/>
          <w:highlight w:val="none"/>
        </w:rPr>
        <w:t xml:space="preserve"> The top30 GO enrichment of profile 9, 38 and 41 in four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>stomachs.</w:t>
      </w: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eastAsia" w:ascii="Times New Roman" w:hAnsi="Times New Roman" w:cs="Times New Roman" w:eastAsiaTheme="minorEastAsia"/>
          <w:color w:val="auto"/>
          <w:sz w:val="22"/>
          <w:szCs w:val="22"/>
          <w:highlight w:val="none"/>
          <w:lang w:eastAsia="zh-CN"/>
        </w:rPr>
      </w:pPr>
      <w:r>
        <w:rPr>
          <w:rFonts w:hint="eastAsia" w:ascii="Times New Roman" w:hAnsi="Times New Roman" w:cs="Times New Roman" w:eastAsiaTheme="minorEastAsia"/>
          <w:color w:val="auto"/>
          <w:sz w:val="22"/>
          <w:szCs w:val="22"/>
          <w:highlight w:val="none"/>
          <w:lang w:eastAsia="zh-CN"/>
        </w:rPr>
        <w:drawing>
          <wp:inline distT="0" distB="0" distL="114300" distR="114300">
            <wp:extent cx="5257800" cy="6572250"/>
            <wp:effectExtent l="0" t="0" r="0" b="6350"/>
            <wp:docPr id="2" name="图片 2" descr="Figure S2-Transcription patterns of S100A12, KRT4, KRT6A, ACTG2, A2ML1 compared to expression patterns in the RNA-seq in rum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igure S2-Transcription patterns of S100A12, KRT4, KRT6A, ACTG2, A2ML1 compared to expression patterns in the RNA-seq in rumen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657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rPr>
          <w:rFonts w:hint="eastAsia" w:ascii="Times New Roman" w:hAnsi="Times New Roman" w:cs="Times New Roman" w:eastAsiaTheme="minorEastAsia"/>
          <w:color w:val="auto"/>
          <w:sz w:val="22"/>
          <w:szCs w:val="22"/>
          <w:highlight w:val="none"/>
          <w:lang w:eastAsia="zh-CN"/>
        </w:rPr>
      </w:pPr>
      <w:r>
        <w:rPr>
          <w:rFonts w:hint="default" w:ascii="Times New Roman" w:hAnsi="Times New Roman" w:eastAsia="URWPalladioL-Roma" w:cs="Times New Roman"/>
          <w:b/>
          <w:bCs/>
          <w:color w:val="auto"/>
          <w:sz w:val="22"/>
          <w:szCs w:val="22"/>
          <w:highlight w:val="none"/>
        </w:rPr>
        <w:t xml:space="preserve">Figure </w:t>
      </w:r>
      <w:r>
        <w:rPr>
          <w:rFonts w:hint="default" w:ascii="Times New Roman" w:hAnsi="Times New Roman" w:eastAsia="URWPalladioL-Roma" w:cs="Times New Roman"/>
          <w:b/>
          <w:bCs/>
          <w:color w:val="FF0000"/>
          <w:sz w:val="22"/>
          <w:szCs w:val="22"/>
          <w:highlight w:val="none"/>
        </w:rPr>
        <w:t>S</w:t>
      </w:r>
      <w:r>
        <w:rPr>
          <w:rFonts w:hint="eastAsia" w:ascii="Times New Roman" w:hAnsi="Times New Roman" w:eastAsia="宋体" w:cs="Times New Roman"/>
          <w:b/>
          <w:bCs/>
          <w:color w:val="FF0000"/>
          <w:sz w:val="22"/>
          <w:szCs w:val="22"/>
          <w:highlight w:val="none"/>
          <w:lang w:val="en-US" w:eastAsia="zh-CN"/>
        </w:rPr>
        <w:t>3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eastAsia="URWPalladioL-Roma" w:cs="Times New Roman"/>
          <w:color w:val="auto"/>
          <w:sz w:val="22"/>
          <w:szCs w:val="22"/>
          <w:highlight w:val="none"/>
        </w:rPr>
        <w:t xml:space="preserve"> Transcription patterns of </w:t>
      </w:r>
      <w:r>
        <w:rPr>
          <w:rFonts w:hint="default" w:ascii="Times New Roman" w:hAnsi="Times New Roman" w:eastAsia="URWPalladioL-Roma" w:cs="Times New Roman"/>
          <w:i/>
          <w:color w:val="auto"/>
          <w:sz w:val="22"/>
          <w:szCs w:val="22"/>
          <w:highlight w:val="none"/>
        </w:rPr>
        <w:t>S100A12, KRT4, KRT6A, ACTG2, A2ML1</w:t>
      </w:r>
      <w:r>
        <w:rPr>
          <w:rFonts w:hint="default" w:ascii="Times New Roman" w:hAnsi="Times New Roman" w:eastAsia="URWPalladioL-Roma" w:cs="Times New Roman"/>
          <w:color w:val="auto"/>
          <w:sz w:val="22"/>
          <w:szCs w:val="22"/>
          <w:highlight w:val="none"/>
        </w:rPr>
        <w:t xml:space="preserve"> compared to expression patterns in the RNA-seq in rumen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>.</w:t>
      </w: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360" w:lineRule="auto"/>
        <w:jc w:val="both"/>
        <w:rPr>
          <w:rFonts w:hint="eastAsia" w:ascii="Times New Roman" w:hAnsi="Times New Roman" w:cs="Times New Roman" w:eastAsiaTheme="minorEastAsia"/>
          <w:color w:val="auto"/>
          <w:sz w:val="22"/>
          <w:szCs w:val="22"/>
          <w:highlight w:val="none"/>
          <w:lang w:eastAsia="zh-CN"/>
        </w:rPr>
      </w:pPr>
      <w:r>
        <w:rPr>
          <w:rFonts w:hint="eastAsia" w:ascii="Times New Roman" w:hAnsi="Times New Roman" w:cs="Times New Roman" w:eastAsiaTheme="minorEastAsia"/>
          <w:color w:val="auto"/>
          <w:sz w:val="22"/>
          <w:szCs w:val="22"/>
          <w:highlight w:val="none"/>
          <w:lang w:eastAsia="zh-CN"/>
        </w:rPr>
        <w:drawing>
          <wp:inline distT="0" distB="0" distL="114300" distR="114300">
            <wp:extent cx="5257800" cy="6572250"/>
            <wp:effectExtent l="0" t="0" r="0" b="6350"/>
            <wp:docPr id="3" name="图片 3" descr="Figure S3-Transcription patterns of S100A9, ACTG2, FTH1, DES, RPLP0 compared to expression patterns in the RNA-seq in reticul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igure S3-Transcription patterns of S100A9, ACTG2, FTH1, DES, RPLP0 compared to expression patterns in the RNA-seq in reticulum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657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URWPalladioL-Roma" w:cs="Times New Roman"/>
          <w:b/>
          <w:bCs/>
          <w:color w:val="auto"/>
          <w:sz w:val="22"/>
          <w:szCs w:val="22"/>
          <w:highlight w:val="none"/>
        </w:rPr>
        <w:t xml:space="preserve">Figure </w:t>
      </w:r>
      <w:r>
        <w:rPr>
          <w:rFonts w:hint="default" w:ascii="Times New Roman" w:hAnsi="Times New Roman" w:eastAsia="URWPalladioL-Roma" w:cs="Times New Roman"/>
          <w:b/>
          <w:bCs/>
          <w:color w:val="FF0000"/>
          <w:sz w:val="22"/>
          <w:szCs w:val="22"/>
          <w:highlight w:val="none"/>
        </w:rPr>
        <w:t>S</w:t>
      </w:r>
      <w:r>
        <w:rPr>
          <w:rFonts w:hint="eastAsia" w:ascii="Times New Roman" w:hAnsi="Times New Roman" w:eastAsia="宋体" w:cs="Times New Roman"/>
          <w:b/>
          <w:bCs/>
          <w:color w:val="FF0000"/>
          <w:sz w:val="22"/>
          <w:szCs w:val="22"/>
          <w:highlight w:val="none"/>
          <w:lang w:val="en-US" w:eastAsia="zh-CN"/>
        </w:rPr>
        <w:t>4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eastAsia="URWPalladioL-Roma" w:cs="Times New Roman"/>
          <w:color w:val="auto"/>
          <w:sz w:val="22"/>
          <w:szCs w:val="22"/>
          <w:highlight w:val="none"/>
        </w:rPr>
        <w:t xml:space="preserve"> Transcription patterns of </w:t>
      </w:r>
      <w:r>
        <w:rPr>
          <w:rFonts w:hint="default" w:ascii="Times New Roman" w:hAnsi="Times New Roman" w:eastAsia="URWPalladioL-Roma" w:cs="Times New Roman"/>
          <w:i/>
          <w:color w:val="auto"/>
          <w:sz w:val="22"/>
          <w:szCs w:val="22"/>
          <w:highlight w:val="none"/>
        </w:rPr>
        <w:t>S100A9</w:t>
      </w:r>
      <w:r>
        <w:rPr>
          <w:rFonts w:hint="default" w:ascii="Times New Roman" w:hAnsi="Times New Roman" w:eastAsia="URWPalladioL-Roma" w:cs="Times New Roman"/>
          <w:color w:val="auto"/>
          <w:sz w:val="22"/>
          <w:szCs w:val="22"/>
          <w:highlight w:val="none"/>
        </w:rPr>
        <w:t xml:space="preserve">, </w:t>
      </w:r>
      <w:r>
        <w:rPr>
          <w:rFonts w:hint="default" w:ascii="Times New Roman" w:hAnsi="Times New Roman" w:eastAsia="URWPalladioL-Roma" w:cs="Times New Roman"/>
          <w:i/>
          <w:color w:val="auto"/>
          <w:sz w:val="22"/>
          <w:szCs w:val="22"/>
          <w:highlight w:val="none"/>
        </w:rPr>
        <w:t xml:space="preserve">ACTG2, FTH1, DES, RPLP0 </w:t>
      </w:r>
      <w:r>
        <w:rPr>
          <w:rFonts w:hint="default" w:ascii="Times New Roman" w:hAnsi="Times New Roman" w:eastAsia="URWPalladioL-Roma" w:cs="Times New Roman"/>
          <w:color w:val="auto"/>
          <w:sz w:val="22"/>
          <w:szCs w:val="22"/>
          <w:highlight w:val="none"/>
        </w:rPr>
        <w:t>compared to expression patterns in the RNA-seq in reticulum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>.</w:t>
      </w: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360" w:lineRule="auto"/>
        <w:jc w:val="both"/>
        <w:rPr>
          <w:rFonts w:hint="eastAsia" w:ascii="Times New Roman" w:hAnsi="Times New Roman" w:cs="Times New Roman" w:eastAsiaTheme="minorEastAsia"/>
          <w:color w:val="auto"/>
          <w:sz w:val="22"/>
          <w:szCs w:val="22"/>
          <w:highlight w:val="none"/>
          <w:lang w:eastAsia="zh-CN"/>
        </w:rPr>
      </w:pPr>
      <w:r>
        <w:rPr>
          <w:rFonts w:hint="eastAsia" w:ascii="Times New Roman" w:hAnsi="Times New Roman" w:cs="Times New Roman" w:eastAsiaTheme="minorEastAsia"/>
          <w:color w:val="auto"/>
          <w:sz w:val="22"/>
          <w:szCs w:val="22"/>
          <w:highlight w:val="none"/>
          <w:lang w:eastAsia="zh-CN"/>
        </w:rPr>
        <w:drawing>
          <wp:inline distT="0" distB="0" distL="114300" distR="114300">
            <wp:extent cx="5257800" cy="6572250"/>
            <wp:effectExtent l="0" t="0" r="0" b="6350"/>
            <wp:docPr id="4" name="图片 4" descr="Figure S4-Transcription patterns of ANXA1, RPS3A, RPLP0, A2ML1, KRT4 compared to expression patterns in the RNA-seq in omasu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igure S4-Transcription patterns of ANXA1, RPS3A, RPLP0, A2ML1, KRT4 compared to expression patterns in the RNA-seq in omasum.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657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URWPalladioL-Roma" w:cs="Times New Roman"/>
          <w:b/>
          <w:bCs/>
          <w:color w:val="auto"/>
          <w:sz w:val="22"/>
          <w:szCs w:val="22"/>
          <w:highlight w:val="none"/>
        </w:rPr>
        <w:t xml:space="preserve">Figure </w:t>
      </w:r>
      <w:r>
        <w:rPr>
          <w:rFonts w:hint="default" w:ascii="Times New Roman" w:hAnsi="Times New Roman" w:eastAsia="URWPalladioL-Roma" w:cs="Times New Roman"/>
          <w:b/>
          <w:bCs/>
          <w:color w:val="FF0000"/>
          <w:sz w:val="22"/>
          <w:szCs w:val="22"/>
          <w:highlight w:val="none"/>
        </w:rPr>
        <w:t>S</w:t>
      </w:r>
      <w:r>
        <w:rPr>
          <w:rFonts w:hint="eastAsia" w:ascii="Times New Roman" w:hAnsi="Times New Roman" w:eastAsia="宋体" w:cs="Times New Roman"/>
          <w:b/>
          <w:bCs/>
          <w:color w:val="FF0000"/>
          <w:sz w:val="22"/>
          <w:szCs w:val="22"/>
          <w:highlight w:val="none"/>
          <w:lang w:val="en-US" w:eastAsia="zh-CN"/>
        </w:rPr>
        <w:t>5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</w:rPr>
        <w:t>.</w:t>
      </w:r>
      <w:r>
        <w:rPr>
          <w:rFonts w:hint="default" w:ascii="Times New Roman" w:hAnsi="Times New Roman" w:eastAsia="URWPalladioL-Roma" w:cs="Times New Roman"/>
          <w:color w:val="auto"/>
          <w:sz w:val="22"/>
          <w:szCs w:val="22"/>
          <w:highlight w:val="none"/>
        </w:rPr>
        <w:t xml:space="preserve"> Transcription patterns of </w:t>
      </w:r>
      <w:r>
        <w:rPr>
          <w:rFonts w:hint="default" w:ascii="Times New Roman" w:hAnsi="Times New Roman" w:eastAsia="URWPalladioL-Roma" w:cs="Times New Roman"/>
          <w:i/>
          <w:color w:val="auto"/>
          <w:sz w:val="22"/>
          <w:szCs w:val="22"/>
          <w:highlight w:val="none"/>
        </w:rPr>
        <w:t xml:space="preserve">ANXA1, RPS3A, RPLP0, A2ML1, KRT4 </w:t>
      </w:r>
      <w:r>
        <w:rPr>
          <w:rFonts w:hint="default" w:ascii="Times New Roman" w:hAnsi="Times New Roman" w:eastAsia="URWPalladioL-Roma" w:cs="Times New Roman"/>
          <w:color w:val="auto"/>
          <w:sz w:val="22"/>
          <w:szCs w:val="22"/>
          <w:highlight w:val="none"/>
        </w:rPr>
        <w:t>compared to expression patterns in the RNA-seq in omasum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  <w:t>.</w:t>
      </w: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spacing w:line="360" w:lineRule="auto"/>
        <w:jc w:val="both"/>
        <w:rPr>
          <w:rFonts w:hint="eastAsia" w:ascii="Times New Roman" w:hAnsi="Times New Roman" w:cs="Times New Roman" w:eastAsiaTheme="minorEastAsia"/>
          <w:color w:val="auto"/>
          <w:sz w:val="22"/>
          <w:szCs w:val="22"/>
          <w:highlight w:val="none"/>
          <w:lang w:eastAsia="zh-CN"/>
        </w:rPr>
      </w:pPr>
      <w:r>
        <w:rPr>
          <w:rFonts w:hint="eastAsia" w:ascii="Times New Roman" w:hAnsi="Times New Roman" w:cs="Times New Roman" w:eastAsiaTheme="minorEastAsia"/>
          <w:color w:val="auto"/>
          <w:sz w:val="22"/>
          <w:szCs w:val="22"/>
          <w:highlight w:val="none"/>
          <w:lang w:eastAsia="zh-CN"/>
        </w:rPr>
        <w:drawing>
          <wp:inline distT="0" distB="0" distL="114300" distR="114300">
            <wp:extent cx="5257800" cy="6572250"/>
            <wp:effectExtent l="0" t="0" r="0" b="6350"/>
            <wp:docPr id="5" name="图片 5" descr="Figure S5-Transcription patterns of TFF1, GKN1, ATP4B, PGC, RPS8 compared to expression patterns in the RNA-seq in omasu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igure S5-Transcription patterns of TFF1, GKN1, ATP4B, PGC, RPS8 compared to expression patterns in the RNA-seq in omasum.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657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URWPalladioL-Roma" w:cs="Times New Roman"/>
          <w:b/>
          <w:bCs/>
          <w:color w:val="auto"/>
          <w:sz w:val="22"/>
          <w:szCs w:val="22"/>
          <w:highlight w:val="none"/>
        </w:rPr>
        <w:t xml:space="preserve">Figure </w:t>
      </w:r>
      <w:r>
        <w:rPr>
          <w:rFonts w:hint="default" w:ascii="Times New Roman" w:hAnsi="Times New Roman" w:eastAsia="URWPalladioL-Roma" w:cs="Times New Roman"/>
          <w:b/>
          <w:bCs/>
          <w:color w:val="FF0000"/>
          <w:sz w:val="22"/>
          <w:szCs w:val="22"/>
          <w:highlight w:val="none"/>
        </w:rPr>
        <w:t>S</w:t>
      </w:r>
      <w:r>
        <w:rPr>
          <w:rFonts w:hint="eastAsia" w:ascii="Times New Roman" w:hAnsi="Times New Roman" w:eastAsia="宋体" w:cs="Times New Roman"/>
          <w:b/>
          <w:bCs/>
          <w:color w:val="FF0000"/>
          <w:sz w:val="22"/>
          <w:szCs w:val="22"/>
          <w:highlight w:val="none"/>
          <w:lang w:val="en-US" w:eastAsia="zh-CN"/>
        </w:rPr>
        <w:t>6</w:t>
      </w:r>
      <w:r>
        <w:rPr>
          <w:rFonts w:hint="default" w:ascii="Times New Roman" w:hAnsi="Times New Roman" w:cs="Times New Roman"/>
          <w:color w:val="auto"/>
          <w:highlight w:val="none"/>
        </w:rPr>
        <w:t>.</w:t>
      </w:r>
      <w:r>
        <w:rPr>
          <w:rFonts w:hint="default" w:ascii="Times New Roman" w:hAnsi="Times New Roman" w:eastAsia="URWPalladioL-Roma" w:cs="Times New Roman"/>
          <w:color w:val="auto"/>
          <w:highlight w:val="none"/>
        </w:rPr>
        <w:t xml:space="preserve"> Transcription patterns of</w:t>
      </w:r>
      <w:r>
        <w:rPr>
          <w:rFonts w:hint="default" w:ascii="Times New Roman" w:hAnsi="Times New Roman" w:eastAsia="URWPalladioL-Roma" w:cs="Times New Roman"/>
          <w:i/>
          <w:color w:val="auto"/>
          <w:highlight w:val="none"/>
        </w:rPr>
        <w:t xml:space="preserve"> TFF1, GKN1, ATP4B, PGC, RPS8</w:t>
      </w:r>
      <w:r>
        <w:rPr>
          <w:rFonts w:hint="default" w:ascii="Times New Roman" w:hAnsi="Times New Roman" w:eastAsia="URWPalladioL-Roma" w:cs="Times New Roman"/>
          <w:color w:val="auto"/>
          <w:highlight w:val="none"/>
        </w:rPr>
        <w:t xml:space="preserve"> compared to expression patterns in the RNA-seq in </w:t>
      </w:r>
      <w:r>
        <w:rPr>
          <w:rFonts w:hint="default" w:ascii="Times New Roman" w:hAnsi="Times New Roman" w:eastAsia="Palatino Linotype" w:cs="Times New Roman"/>
          <w:color w:val="auto"/>
          <w:szCs w:val="21"/>
          <w:lang w:bidi="ar"/>
        </w:rPr>
        <w:t>abomasum</w:t>
      </w:r>
      <w:r>
        <w:rPr>
          <w:rFonts w:hint="default" w:ascii="Times New Roman" w:hAnsi="Times New Roman" w:cs="Times New Roman"/>
          <w:color w:val="auto"/>
          <w:highlight w:val="none"/>
        </w:rPr>
        <w:t xml:space="preserve">. </w:t>
      </w: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default" w:ascii="Times New Roman" w:hAnsi="Times New Roman" w:cs="Times New Roman"/>
          <w:color w:val="auto"/>
          <w:sz w:val="22"/>
          <w:szCs w:val="22"/>
          <w:highlight w:val="none"/>
        </w:rPr>
      </w:pPr>
    </w:p>
    <w:p>
      <w:pPr>
        <w:jc w:val="both"/>
        <w:rPr>
          <w:rFonts w:hint="eastAsia" w:ascii="Times New Roman" w:hAnsi="Times New Roman" w:cs="Times New Roman"/>
          <w:color w:val="auto"/>
          <w:sz w:val="22"/>
          <w:szCs w:val="22"/>
          <w:highlight w:val="none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URWPalladioL-Roma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Palatino Linotype">
    <w:panose1 w:val="02040502050505030304"/>
    <w:charset w:val="00"/>
    <w:family w:val="roman"/>
    <w:pitch w:val="default"/>
    <w:sig w:usb0="E0000287" w:usb1="40000013" w:usb2="00000000" w:usb3="00000000" w:csb0="2000019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YyZGZlZjExNmEzZjVhYzM0YmY2MmZkNWJkNWExMWUifQ=="/>
  </w:docVars>
  <w:rsids>
    <w:rsidRoot w:val="00000000"/>
    <w:rsid w:val="09880F3D"/>
    <w:rsid w:val="0B7E024F"/>
    <w:rsid w:val="0C5D3337"/>
    <w:rsid w:val="1D3F7112"/>
    <w:rsid w:val="1E7828DC"/>
    <w:rsid w:val="1F5F1222"/>
    <w:rsid w:val="2DAA682A"/>
    <w:rsid w:val="3E926669"/>
    <w:rsid w:val="4CC87F29"/>
    <w:rsid w:val="4D3A2678"/>
    <w:rsid w:val="4F494540"/>
    <w:rsid w:val="536A5F90"/>
    <w:rsid w:val="56D76945"/>
    <w:rsid w:val="6858182C"/>
    <w:rsid w:val="706114C7"/>
    <w:rsid w:val="77004391"/>
    <w:rsid w:val="78B813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108</Words>
  <Characters>588</Characters>
  <Lines>0</Lines>
  <Paragraphs>0</Paragraphs>
  <TotalTime>17</TotalTime>
  <ScaleCrop>false</ScaleCrop>
  <LinksUpToDate>false</LinksUpToDate>
  <CharactersWithSpaces>691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2023-01-13T03:05:00Z</dcterms:created>
  <dc:creator>ASUS</dc:creator>
  <cp:lastModifiedBy>LYL</cp:lastModifiedBy>
  <dcterms:modified xsi:type="dcterms:W3CDTF">2023-08-25T07:39:50Z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009073B287D549708F80F4716FF2C9AC</vt:lpwstr>
  </property>
</Properties>
</file>